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BD" w:rsidRPr="00076E1E" w:rsidRDefault="003558BD">
      <w:pPr>
        <w:spacing w:after="0" w:line="240" w:lineRule="auto"/>
        <w:jc w:val="center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83"/>
        <w:gridCol w:w="4695"/>
      </w:tblGrid>
      <w:tr w:rsidR="003558BD" w:rsidRPr="005E3C1F">
        <w:trPr>
          <w:trHeight w:val="1"/>
        </w:trPr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 w:rsidRPr="005E3C1F">
              <w:rPr>
                <w:lang w:val="bg-BG"/>
              </w:rPr>
              <w:object w:dxaOrig="3847" w:dyaOrig="2672">
                <v:rect id="rectole0000000000" o:spid="_x0000_i1025" style="width:192.25pt;height:133.15pt" o:ole="" o:preferrelative="t" stroked="f">
                  <v:imagedata r:id="rId7" o:title=""/>
                </v:rect>
                <o:OLEObject Type="Embed" ProgID="StaticMetafile" ShapeID="rectole0000000000" DrawAspect="Content" ObjectID="_1742891383" r:id="rId8"/>
              </w:object>
            </w:r>
          </w:p>
        </w:tc>
        <w:tc>
          <w:tcPr>
            <w:tcW w:w="4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ОБЯВА</w:t>
            </w:r>
          </w:p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за</w:t>
            </w:r>
            <w:proofErr w:type="gramEnd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 приемане на проектни предложения за предоставяне на</w:t>
            </w:r>
          </w:p>
          <w:p w:rsidR="003558BD" w:rsidRPr="005E3C1F" w:rsidRDefault="007342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безвъзмездна</w:t>
            </w:r>
            <w:proofErr w:type="gramEnd"/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 финансова помощ от страна на Република България</w:t>
            </w:r>
          </w:p>
          <w:p w:rsidR="003558BD" w:rsidRPr="005E3C1F" w:rsidRDefault="003558B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:rsidR="003558BD" w:rsidRPr="005E3C1F" w:rsidRDefault="003558BD">
      <w:pPr>
        <w:spacing w:after="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Министерство на външните работи на Република България чрез Посолството</w:t>
      </w:r>
      <w:r w:rsidR="00076E1E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/ Генералното консулство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Република България в Република Сърбия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 202</w:t>
      </w:r>
      <w:r w:rsidR="00726416">
        <w:rPr>
          <w:rFonts w:ascii="Calibri" w:eastAsia="Calibri" w:hAnsi="Calibri" w:cs="Calibri"/>
          <w:sz w:val="24"/>
          <w:shd w:val="clear" w:color="auto" w:fill="FFFFFF"/>
          <w:lang w:val="bg-BG"/>
        </w:rPr>
        <w:t>4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година.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Приоритетните области и направления за изпълнение на проекти на територията на Република Сърбия </w:t>
      </w:r>
      <w:proofErr w:type="gramStart"/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са: </w:t>
      </w:r>
      <w:proofErr w:type="gramEnd"/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2D94" w:rsidRPr="00D32D94" w:rsidRDefault="00D32D94" w:rsidP="00D32D94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Защита правата на човека, прилагането на правозащитните стандарти и подобряване достъпа до правосъдие.</w:t>
            </w:r>
          </w:p>
          <w:p w:rsidR="00D32D94" w:rsidRPr="00D32D94" w:rsidRDefault="00D32D94" w:rsidP="00D32D94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Утвърждаването на демократичните ценности и реформиране на публичния сектор съгласно европейските стандарти в контекста на процеса на европейската интеграция на Сърбия /вкл. </w:t>
            </w:r>
            <w:proofErr w:type="gramStart"/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чрез</w:t>
            </w:r>
            <w:proofErr w:type="gramEnd"/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изпращането на български експерти/.</w:t>
            </w:r>
          </w:p>
          <w:p w:rsidR="00D32D94" w:rsidRPr="00D32D94" w:rsidRDefault="00D32D94" w:rsidP="00D32D94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Повишаването на административния капацитет с цел укрепване на върховенството на закона, демократичното управление и насърчаване на гражданското общество и социалното включване на младите хора в процеса на вземане на решение.</w:t>
            </w:r>
          </w:p>
          <w:p w:rsidR="00D32D94" w:rsidRPr="00D32D94" w:rsidRDefault="00D32D94" w:rsidP="00D32D94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Свързаност – малък и среден бизнес, предприемачество, създаване на работни места за младите хора с акцент върху регионите, които са най-слабо развити по отношение на икономическото развитие, достъпа до образование, здравеопазване и др.</w:t>
            </w:r>
          </w:p>
          <w:p w:rsidR="00D32D94" w:rsidRPr="00D32D94" w:rsidRDefault="00D32D94" w:rsidP="00D32D94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Подобряване на учебната среда в образователните институции с фокус върху слабо развитите региони и учебните заведения.</w:t>
            </w:r>
          </w:p>
          <w:p w:rsidR="00D32D94" w:rsidRPr="00D32D94" w:rsidRDefault="00D32D94" w:rsidP="00D32D94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Осигуряване на качествена и здравословна околна среда и устойчиво управление на природните ресурси.</w:t>
            </w:r>
          </w:p>
          <w:p w:rsidR="00442291" w:rsidRPr="00442291" w:rsidRDefault="00D32D94" w:rsidP="00D32D94">
            <w:pPr>
              <w:numPr>
                <w:ilvl w:val="0"/>
                <w:numId w:val="1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D32D94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Подобряване на енергийната ефективност на обществен и социално значим сграден фонд с акцент върху регионите, които са най-слабо развити по отношение на икономическото развитие.</w:t>
            </w:r>
          </w:p>
        </w:tc>
      </w:tr>
    </w:tbl>
    <w:p w:rsidR="003558BD" w:rsidRPr="005E3C1F" w:rsidRDefault="00666D06" w:rsidP="00666D06">
      <w:pPr>
        <w:spacing w:before="100" w:after="0" w:line="24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lastRenderedPageBreak/>
        <w:t xml:space="preserve">1.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Цели и обхват на проектите: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/>
      </w:tblPr>
      <w:tblGrid>
        <w:gridCol w:w="9216"/>
      </w:tblGrid>
      <w:tr w:rsidR="003558BD" w:rsidRPr="005E3C1F">
        <w:trPr>
          <w:trHeight w:val="1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Оказване на съдействие за процесите на демократични реформи, защита на </w:t>
            </w: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правата на човека и правата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малцинствата, укрепване на върховенството на закона,</w:t>
            </w:r>
            <w:r w:rsidR="002A1640" w:rsidRPr="005E3C1F">
              <w:rPr>
                <w:lang w:val="bg-BG"/>
              </w:rPr>
              <w:t xml:space="preserve"> на </w:t>
            </w:r>
            <w:r w:rsidR="002A1640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публичните институции,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гражданското общество, на пазарната икономика и др., включително в контекста на подкрепата за европейската интеграция;</w:t>
            </w:r>
          </w:p>
          <w:p w:rsidR="003558BD" w:rsidRPr="005E3C1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Стимулиране и подпомагане на изграждането на административния капацитет на Сърбия за постигане на процесите на демократичните реформи и спазването на </w:t>
            </w: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правата на човека и правата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малцинствата, особено по отношение на институции, които към момента нямат достатъчно опит и кадрови капацитет за съответните функции и дейности;</w:t>
            </w:r>
          </w:p>
          <w:p w:rsidR="003558BD" w:rsidRPr="00C56CDF" w:rsidRDefault="007342AE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Подкрепа за свободата на словото и медиите чрез насърчаван</w:t>
            </w:r>
            <w:r w:rsidR="002A1640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е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качествена, независима и гражданска журналистика;</w:t>
            </w:r>
          </w:p>
          <w:p w:rsidR="00C56CDF" w:rsidRPr="00C56CDF" w:rsidRDefault="00C56CDF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Подобряване на бизнес средата и повишаване на заетостта;</w:t>
            </w:r>
          </w:p>
          <w:p w:rsidR="00C56CDF" w:rsidRPr="005E3C1F" w:rsidRDefault="00C56CDF">
            <w:pPr>
              <w:numPr>
                <w:ilvl w:val="0"/>
                <w:numId w:val="2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Стимулиране на добрите практики в сферата на мониторинга и опазването на околната среда, както и в устойчивото управление на природните ресурси.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EF3B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2.  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Целеви групи: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Неправителствени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 xml:space="preserve"> организации;</w:t>
            </w:r>
          </w:p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Организации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 xml:space="preserve"> на местно самоуправление;</w:t>
            </w:r>
          </w:p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>Образователни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bg-BG"/>
              </w:rPr>
              <w:t xml:space="preserve"> институции;</w:t>
            </w:r>
          </w:p>
          <w:p w:rsidR="003558BD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Младите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хора в Република Сърбия;</w:t>
            </w:r>
          </w:p>
          <w:p w:rsidR="003558BD" w:rsidRPr="00D3217E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Малцинствените</w:t>
            </w:r>
            <w:r w:rsidR="007342AE" w:rsidRPr="005E3C1F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групи</w:t>
            </w:r>
            <w:r>
              <w:rPr>
                <w:rFonts w:ascii="Calibri" w:eastAsia="Calibri" w:hAnsi="Calibri" w:cs="Calibri"/>
                <w:sz w:val="24"/>
                <w:szCs w:val="24"/>
                <w:lang w:val="bg-BG"/>
              </w:rPr>
              <w:t>;</w:t>
            </w:r>
          </w:p>
          <w:p w:rsidR="00D3217E" w:rsidRPr="005E3C1F" w:rsidRDefault="00D3217E">
            <w:pPr>
              <w:numPr>
                <w:ilvl w:val="0"/>
                <w:numId w:val="4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lang w:val="bg-BG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bg-BG"/>
              </w:rPr>
              <w:t>Еко организации.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EF3BD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3.  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Очаквани резултати: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>
        <w:trPr>
          <w:trHeight w:val="1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утвърждаване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доброто име и международния авторитет на България;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подобряване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социално-икономическото развитие и доброто управление; 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задълбочаване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взаимодействието между институциите на централно, регионално и местно ниво и пр.;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видим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напредък в гарантирането на правата на националните малцинства чрез ефективно прилагане на правозащитни стандарти и укрепване на правозащитната култура на местните администрации и националните съвети на националните малцинства;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lastRenderedPageBreak/>
              <w:t>подкрепа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за свободата на словото и медиите чрез </w:t>
            </w:r>
            <w:proofErr w:type="spell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насърчаван</w:t>
            </w:r>
            <w:r w:rsidR="007C54A8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e</w:t>
            </w:r>
            <w:proofErr w:type="spell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качествена, независима и гражданска журналистика;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засилване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административния капацитет за демократични реформи и укрепване на върховенството на закона, насърчаване на доброто управление;</w:t>
            </w:r>
          </w:p>
          <w:p w:rsidR="003558BD" w:rsidRPr="005E3C1F" w:rsidRDefault="007342A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повишаване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</w:t>
            </w:r>
            <w:r w:rsidR="00206A91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информираността и</w:t>
            </w: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гражданската активност на младите хора и тяхното овластяване при управление на публичните политики;</w:t>
            </w:r>
          </w:p>
          <w:p w:rsidR="003558BD" w:rsidRPr="005E3C1F" w:rsidRDefault="00094368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създаване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на по-добри условия и повишаване конкурентоспособността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за малкия и среден бизнес и предприемачеството, със специално внимание към създаването на нови възможности за младите хора;</w:t>
            </w:r>
          </w:p>
          <w:p w:rsidR="003558BD" w:rsidRPr="005E3C1F" w:rsidRDefault="00FA353E">
            <w:pPr>
              <w:numPr>
                <w:ilvl w:val="0"/>
                <w:numId w:val="5"/>
              </w:numPr>
              <w:tabs>
                <w:tab w:val="left" w:pos="708"/>
                <w:tab w:val="left" w:pos="1058"/>
                <w:tab w:val="left" w:pos="1134"/>
                <w:tab w:val="left" w:pos="1416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  <w:ind w:left="720" w:hanging="360"/>
              <w:jc w:val="both"/>
              <w:rPr>
                <w:rFonts w:ascii="Calibri" w:eastAsia="Calibri" w:hAnsi="Calibri" w:cs="Calibri"/>
                <w:lang w:val="bg-BG"/>
              </w:rPr>
            </w:pPr>
            <w:proofErr w:type="gramStart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по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-качествена</w:t>
            </w:r>
            <w:r w:rsidR="007342AE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 и здравословна околна среда и устойчиво управление на природните ресурси.</w:t>
            </w: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4. Допустими стойности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4.1. Минималната допустима стойност на проект </w:t>
      </w:r>
      <w:r w:rsidR="00D32D94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е 10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000 лв. /около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5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0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00 евро/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4.2.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М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аксимална стойност на проект е:</w:t>
      </w:r>
    </w:p>
    <w:p w:rsidR="003558BD" w:rsidRPr="005E3C1F" w:rsidRDefault="007342AE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за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проекти, чиято основна цел е доставка на стоки и/или предоставяне на услуги - до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8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0 000 лв. /около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40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9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00 евро/;</w:t>
      </w:r>
    </w:p>
    <w:p w:rsidR="003558BD" w:rsidRPr="005E3C1F" w:rsidRDefault="007342AE">
      <w:pPr>
        <w:numPr>
          <w:ilvl w:val="0"/>
          <w:numId w:val="6"/>
        </w:numPr>
        <w:spacing w:before="100" w:after="0" w:line="240" w:lineRule="auto"/>
        <w:ind w:left="78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за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проекти, чиято основна цел е извършване на ремонтни и/или </w:t>
      </w:r>
      <w:r w:rsidR="00380BF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строителни дейности –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до </w:t>
      </w:r>
      <w:r w:rsidR="00380BF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1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6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0 000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лв.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/около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8</w:t>
      </w:r>
      <w:r w:rsidR="00053C95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1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="00D32D94">
        <w:rPr>
          <w:rFonts w:ascii="Calibri" w:eastAsia="Calibri" w:hAnsi="Calibri" w:cs="Calibri"/>
          <w:sz w:val="24"/>
          <w:shd w:val="clear" w:color="auto" w:fill="FFFFFF"/>
          <w:lang w:val="bg-BG"/>
        </w:rPr>
        <w:t>8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00 евро/.</w:t>
      </w:r>
    </w:p>
    <w:p w:rsidR="003558BD" w:rsidRDefault="007342AE">
      <w:pPr>
        <w:spacing w:after="0" w:line="259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4.3. Осигурено от кандидата съ-финансиране на дейности по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проекта ще се разглежда като предимство при оценяването, подбора и одобряването на проектите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.</w:t>
      </w:r>
    </w:p>
    <w:p w:rsidR="006624E5" w:rsidRPr="005E3C1F" w:rsidRDefault="006624E5">
      <w:pPr>
        <w:spacing w:after="0" w:line="259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6624E5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4.4 Проектни предложения, предвиждащи съвместни дейности с български институции /министерства, училища, висши учебни заведения, институти, научно-изследователски центрове, неправителствени организации и др. / </w:t>
      </w:r>
      <w:r w:rsidRPr="006624E5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също ще се разглеждат с предимство</w:t>
      </w:r>
      <w:r w:rsidRPr="006624E5">
        <w:rPr>
          <w:rFonts w:ascii="Calibri" w:eastAsia="Calibri" w:hAnsi="Calibri" w:cs="Calibri"/>
          <w:sz w:val="24"/>
          <w:shd w:val="clear" w:color="auto" w:fill="FFFFFF"/>
          <w:lang w:val="bg-BG"/>
        </w:rPr>
        <w:t>.</w:t>
      </w:r>
    </w:p>
    <w:p w:rsidR="003558BD" w:rsidRPr="005E3C1F" w:rsidRDefault="003558BD">
      <w:pPr>
        <w:spacing w:after="0" w:line="259" w:lineRule="auto"/>
        <w:ind w:left="420"/>
        <w:jc w:val="both"/>
        <w:rPr>
          <w:rFonts w:ascii="Calibri" w:eastAsia="Calibri" w:hAnsi="Calibri" w:cs="Calibri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5. Срокове за изпълнение и продължителност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5.1.</w:t>
      </w:r>
      <w:r w:rsidR="006624E5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="006624E5" w:rsidRPr="006624E5">
        <w:rPr>
          <w:rFonts w:ascii="Calibri" w:eastAsia="Calibri" w:hAnsi="Calibri" w:cs="Calibri"/>
          <w:sz w:val="24"/>
          <w:shd w:val="clear" w:color="auto" w:fill="FFFFFF"/>
          <w:lang w:val="bg-BG"/>
        </w:rPr>
        <w:t>Проектните предложения трябва да съдържат индикативен начален срок за изпълнение на проекта след 15 януари 2024 г. и не по-късно от 30 ноември 2024 г.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5.2. </w:t>
      </w:r>
      <w:r w:rsidR="006624E5" w:rsidRPr="006624E5">
        <w:rPr>
          <w:rFonts w:ascii="Calibri" w:eastAsia="Calibri" w:hAnsi="Calibri" w:cs="Calibri"/>
          <w:sz w:val="24"/>
          <w:shd w:val="clear" w:color="auto" w:fill="FFFFFF"/>
          <w:lang w:val="bg-BG"/>
        </w:rPr>
        <w:t>Крайният срок за изпълнение на проекта не може да бъде по-късно от 31 декември 2026 г.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F943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6.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Допустими кандидати: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Първостепенни и второстепенни разпоредители с бюджет – юридически лица на Република Сърбия;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Международни и местни неправителствени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организации; </w:t>
      </w:r>
      <w:proofErr w:type="gramEnd"/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Общини и техни обединения;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lastRenderedPageBreak/>
        <w:t xml:space="preserve">Образователни, здравни и социални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институции; </w:t>
      </w:r>
      <w:proofErr w:type="gramEnd"/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Международни хуманитарни организации;</w:t>
      </w:r>
    </w:p>
    <w:p w:rsidR="003558BD" w:rsidRPr="005E3C1F" w:rsidRDefault="007342AE">
      <w:pPr>
        <w:numPr>
          <w:ilvl w:val="0"/>
          <w:numId w:val="7"/>
        </w:numPr>
        <w:spacing w:before="100" w:after="0" w:line="240" w:lineRule="auto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Други организации и сдружения, които нямат политически цели и </w:t>
      </w:r>
      <w:r w:rsidR="00206A91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не участват в политически формации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.</w:t>
      </w:r>
    </w:p>
    <w:p w:rsidR="008323F2" w:rsidRPr="005E3C1F" w:rsidRDefault="008323F2">
      <w:pPr>
        <w:spacing w:after="160" w:line="259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6624E5" w:rsidRDefault="006624E5" w:rsidP="006624E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  <w:lang w:val="bg-BG"/>
        </w:rPr>
      </w:pPr>
      <w:r w:rsidRPr="007B63F4">
        <w:rPr>
          <w:rFonts w:ascii="Calibri" w:eastAsia="Calibri" w:hAnsi="Calibri" w:cs="Calibri"/>
          <w:b/>
          <w:sz w:val="24"/>
          <w:u w:val="single"/>
          <w:lang w:val="bg-BG"/>
        </w:rPr>
        <w:t xml:space="preserve">Кандидати, чиито проекти ще се разглеждат </w:t>
      </w:r>
      <w:proofErr w:type="gramStart"/>
      <w:r w:rsidRPr="007B63F4">
        <w:rPr>
          <w:rFonts w:ascii="Calibri" w:eastAsia="Calibri" w:hAnsi="Calibri" w:cs="Calibri"/>
          <w:b/>
          <w:sz w:val="24"/>
          <w:u w:val="single"/>
          <w:lang w:val="bg-BG"/>
        </w:rPr>
        <w:t>приоритетно  за</w:t>
      </w:r>
      <w:proofErr w:type="gramEnd"/>
      <w:r w:rsidRPr="007B63F4">
        <w:rPr>
          <w:rFonts w:ascii="Calibri" w:eastAsia="Calibri" w:hAnsi="Calibri" w:cs="Calibri"/>
          <w:b/>
          <w:sz w:val="24"/>
          <w:u w:val="single"/>
          <w:lang w:val="bg-BG"/>
        </w:rPr>
        <w:t xml:space="preserve"> предстоящата процедура за 2024 г.</w:t>
      </w:r>
    </w:p>
    <w:p w:rsidR="007B63F4" w:rsidRPr="007B63F4" w:rsidRDefault="007B63F4" w:rsidP="006624E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  <w:lang w:val="bg-BG"/>
        </w:rPr>
      </w:pPr>
    </w:p>
    <w:p w:rsidR="006624E5" w:rsidRPr="006624E5" w:rsidRDefault="006624E5" w:rsidP="006624E5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</w:rPr>
      </w:pPr>
      <w:r w:rsidRPr="006624E5">
        <w:rPr>
          <w:rFonts w:ascii="Calibri" w:eastAsia="Calibri" w:hAnsi="Calibri" w:cs="Calibri"/>
        </w:rPr>
        <w:t>Бенефициенти, чийто проект/ти от предходни години са успешно завършени в срока на договора/анекса и с приети от МВнР финални отчети.</w:t>
      </w:r>
    </w:p>
    <w:p w:rsidR="006624E5" w:rsidRPr="006624E5" w:rsidRDefault="006624E5" w:rsidP="006624E5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</w:rPr>
      </w:pPr>
      <w:r w:rsidRPr="006624E5">
        <w:rPr>
          <w:rFonts w:ascii="Calibri" w:eastAsia="Calibri" w:hAnsi="Calibri" w:cs="Calibri"/>
        </w:rPr>
        <w:t xml:space="preserve">Бенефициенти, които са представили междинни отчети по </w:t>
      </w:r>
      <w:proofErr w:type="gramStart"/>
      <w:r w:rsidRPr="006624E5">
        <w:rPr>
          <w:rFonts w:ascii="Calibri" w:eastAsia="Calibri" w:hAnsi="Calibri" w:cs="Calibri"/>
        </w:rPr>
        <w:t>проекти от предходни години в срока на договора/анекса (не се отнася за проекти</w:t>
      </w:r>
      <w:proofErr w:type="gramEnd"/>
      <w:r w:rsidRPr="006624E5">
        <w:rPr>
          <w:rFonts w:ascii="Calibri" w:eastAsia="Calibri" w:hAnsi="Calibri" w:cs="Calibri"/>
        </w:rPr>
        <w:t>, финансирани и изпълняващи се за 2023 г.)</w:t>
      </w:r>
    </w:p>
    <w:p w:rsidR="006624E5" w:rsidRPr="006624E5" w:rsidRDefault="006624E5" w:rsidP="006624E5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</w:rPr>
      </w:pPr>
      <w:r w:rsidRPr="006624E5">
        <w:rPr>
          <w:rFonts w:ascii="Calibri" w:eastAsia="Calibri" w:hAnsi="Calibri" w:cs="Calibri"/>
        </w:rPr>
        <w:t>Кандидати с устойчива проектна история поне 2 години.</w:t>
      </w:r>
    </w:p>
    <w:p w:rsidR="006624E5" w:rsidRPr="006624E5" w:rsidRDefault="006624E5" w:rsidP="006624E5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</w:rPr>
      </w:pPr>
      <w:r w:rsidRPr="006624E5">
        <w:rPr>
          <w:rFonts w:ascii="Calibri" w:eastAsia="Calibri" w:hAnsi="Calibri" w:cs="Calibri"/>
        </w:rPr>
        <w:t>Кандидати със срок на регистрация на дейността не по-малък от 2 години вкл. и такива, чиято регистрация е заличавана и има прекъсване на дейността не по вина на кандидата, но не по-малък от горепосочения срок.</w:t>
      </w:r>
    </w:p>
    <w:p w:rsidR="006624E5" w:rsidRPr="006624E5" w:rsidRDefault="006624E5" w:rsidP="006624E5">
      <w:pPr>
        <w:spacing w:after="0" w:line="240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6624E5" w:rsidRPr="006624E5" w:rsidRDefault="006624E5" w:rsidP="006624E5">
      <w:pPr>
        <w:spacing w:after="0" w:line="240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6624E5">
        <w:rPr>
          <w:rFonts w:ascii="Calibri" w:eastAsia="Calibri" w:hAnsi="Calibri" w:cs="Calibri"/>
          <w:sz w:val="24"/>
          <w:lang w:val="bg-BG"/>
        </w:rPr>
        <w:t>Кандидатите могат да подават не повече от 2 проектни предложения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7B63F4" w:rsidRDefault="007B63F4" w:rsidP="006624E5">
      <w:pPr>
        <w:spacing w:after="0" w:line="240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6624E5" w:rsidRPr="006624E5" w:rsidRDefault="006624E5" w:rsidP="006624E5">
      <w:pPr>
        <w:spacing w:after="0" w:line="240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6624E5">
        <w:rPr>
          <w:rFonts w:ascii="Calibri" w:eastAsia="Calibri" w:hAnsi="Calibri" w:cs="Calibri"/>
          <w:sz w:val="24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7B63F4" w:rsidRDefault="007B63F4" w:rsidP="006624E5">
      <w:pPr>
        <w:spacing w:after="0" w:line="240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7B63F4" w:rsidRDefault="006624E5" w:rsidP="006624E5">
      <w:pPr>
        <w:spacing w:after="0" w:line="240" w:lineRule="auto"/>
        <w:jc w:val="both"/>
        <w:rPr>
          <w:rFonts w:ascii="Calibri" w:eastAsia="Calibri" w:hAnsi="Calibri" w:cs="Calibri"/>
          <w:sz w:val="24"/>
          <w:lang w:val="bg-BG"/>
        </w:rPr>
      </w:pPr>
      <w:r w:rsidRPr="006624E5">
        <w:rPr>
          <w:rFonts w:ascii="Calibri" w:eastAsia="Calibri" w:hAnsi="Calibri" w:cs="Calibri"/>
          <w:sz w:val="24"/>
          <w:lang w:val="bg-BG"/>
        </w:rPr>
        <w:t>Няма да се допускат физически и юридически лица, за които са налице обстоятелства по чл. 23, ал. 3-</w:t>
      </w:r>
      <w:proofErr w:type="gramStart"/>
      <w:r w:rsidRPr="006624E5">
        <w:rPr>
          <w:rFonts w:ascii="Calibri" w:eastAsia="Calibri" w:hAnsi="Calibri" w:cs="Calibri"/>
          <w:sz w:val="24"/>
          <w:lang w:val="bg-BG"/>
        </w:rPr>
        <w:t>8  от</w:t>
      </w:r>
      <w:proofErr w:type="gramEnd"/>
      <w:r w:rsidRPr="006624E5">
        <w:rPr>
          <w:rFonts w:ascii="Calibri" w:eastAsia="Calibri" w:hAnsi="Calibri" w:cs="Calibri"/>
          <w:sz w:val="24"/>
          <w:lang w:val="bg-BG"/>
        </w:rPr>
        <w:t xml:space="preserve"> Постановление № 234 на Министерския съвет от 01.08.2011 г. за политиката на Република България на участие в международното сътрудничество за развитие /Виж Анекс 1 по-долу/</w:t>
      </w:r>
    </w:p>
    <w:p w:rsidR="007B63F4" w:rsidRDefault="007B63F4" w:rsidP="006624E5">
      <w:pPr>
        <w:spacing w:after="0" w:line="240" w:lineRule="auto"/>
        <w:jc w:val="both"/>
        <w:rPr>
          <w:rFonts w:ascii="Calibri" w:eastAsia="Calibri" w:hAnsi="Calibri" w:cs="Calibri"/>
          <w:sz w:val="24"/>
          <w:lang w:val="bg-BG"/>
        </w:rPr>
      </w:pPr>
    </w:p>
    <w:p w:rsidR="003558BD" w:rsidRDefault="00EF3BD4" w:rsidP="006624E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7.   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Допустими дейности и разходи по </w:t>
      </w:r>
      <w:proofErr w:type="gramStart"/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проектите: </w:t>
      </w:r>
      <w:proofErr w:type="gramEnd"/>
    </w:p>
    <w:p w:rsidR="003566C7" w:rsidRPr="005E3C1F" w:rsidRDefault="003566C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3558BD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7.1. </w:t>
      </w:r>
      <w:r w:rsidR="0093779C" w:rsidRPr="0093779C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Допустими </w:t>
      </w:r>
      <w:proofErr w:type="gramStart"/>
      <w:r w:rsidR="0093779C" w:rsidRPr="0093779C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дейности</w:t>
      </w:r>
      <w:proofErr w:type="gramEnd"/>
    </w:p>
    <w:p w:rsidR="0093779C" w:rsidRPr="005E3C1F" w:rsidRDefault="0093779C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93779C" w:rsidRPr="0093779C" w:rsidRDefault="0093779C" w:rsidP="0093779C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93779C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</w:t>
      </w:r>
      <w:proofErr w:type="gramStart"/>
      <w:r w:rsidRPr="0093779C">
        <w:rPr>
          <w:rFonts w:ascii="Calibri" w:eastAsia="Calibri" w:hAnsi="Calibri" w:cs="Calibri"/>
          <w:sz w:val="24"/>
          <w:shd w:val="clear" w:color="auto" w:fill="FFFFFF"/>
          <w:lang w:val="bg-BG"/>
        </w:rPr>
        <w:t>развитието на гражданското общество и повишаване на приноса му за социалната справедливост, демокрацията и устойчивото развитие</w:t>
      </w:r>
      <w:proofErr w:type="gramEnd"/>
      <w:r w:rsidRPr="0093779C">
        <w:rPr>
          <w:rFonts w:ascii="Calibri" w:eastAsia="Calibri" w:hAnsi="Calibri" w:cs="Calibri"/>
          <w:sz w:val="24"/>
          <w:shd w:val="clear" w:color="auto" w:fill="FFFFFF"/>
          <w:lang w:val="bg-BG"/>
        </w:rPr>
        <w:t>, например: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Разработване на нови/осъвременяване на съществуващи обучителни модули;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lastRenderedPageBreak/>
        <w:t>Организиране и провеждане на обучения за служителите от администрацията на страната-партньор</w:t>
      </w:r>
      <w:r w:rsidR="007B63F4">
        <w:rPr>
          <w:rFonts w:ascii="Calibri" w:eastAsia="Calibri" w:hAnsi="Calibri" w:cs="Calibri"/>
          <w:shd w:val="clear" w:color="auto" w:fill="FFFFFF"/>
        </w:rPr>
        <w:t>;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</w:t>
      </w:r>
      <w:r w:rsidR="007B63F4">
        <w:rPr>
          <w:rFonts w:ascii="Calibri" w:eastAsia="Calibri" w:hAnsi="Calibri" w:cs="Calibri"/>
          <w:shd w:val="clear" w:color="auto" w:fill="FFFFFF"/>
        </w:rPr>
        <w:t>;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 xml:space="preserve">Организиране и провеждане на семинари, форуми, </w:t>
      </w:r>
      <w:r w:rsidR="007B63F4" w:rsidRPr="0093779C">
        <w:rPr>
          <w:rFonts w:ascii="Calibri" w:eastAsia="Calibri" w:hAnsi="Calibri" w:cs="Calibri"/>
          <w:shd w:val="clear" w:color="auto" w:fill="FFFFFF"/>
        </w:rPr>
        <w:t>конференции</w:t>
      </w:r>
      <w:r w:rsidR="007B63F4">
        <w:rPr>
          <w:rFonts w:ascii="Calibri" w:eastAsia="Calibri" w:hAnsi="Calibri" w:cs="Calibri"/>
          <w:shd w:val="clear" w:color="auto" w:fill="FFFFFF"/>
        </w:rPr>
        <w:t>;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Разработване на изследвания и стратегии</w:t>
      </w:r>
      <w:r w:rsidR="007B63F4">
        <w:rPr>
          <w:rFonts w:ascii="Calibri" w:eastAsia="Calibri" w:hAnsi="Calibri" w:cs="Calibri"/>
          <w:shd w:val="clear" w:color="auto" w:fill="FFFFFF"/>
        </w:rPr>
        <w:t>;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Дейности за повишаване на информираността за правата на гражданите</w:t>
      </w:r>
      <w:r w:rsidR="007B63F4">
        <w:rPr>
          <w:rFonts w:ascii="Calibri" w:eastAsia="Calibri" w:hAnsi="Calibri" w:cs="Calibri"/>
          <w:shd w:val="clear" w:color="auto" w:fill="FFFFFF"/>
        </w:rPr>
        <w:t>;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Дейности за подобряване на диалога между неправителствените организации и местните, регионалните и националните власти</w:t>
      </w:r>
      <w:r w:rsidR="007B63F4">
        <w:rPr>
          <w:rFonts w:ascii="Calibri" w:eastAsia="Calibri" w:hAnsi="Calibri" w:cs="Calibri"/>
          <w:shd w:val="clear" w:color="auto" w:fill="FFFFFF"/>
        </w:rPr>
        <w:t>;</w:t>
      </w:r>
    </w:p>
    <w:p w:rsidR="0093779C" w:rsidRPr="0093779C" w:rsidRDefault="0093779C" w:rsidP="0093779C">
      <w:pPr>
        <w:pStyle w:val="ListParagraph"/>
        <w:numPr>
          <w:ilvl w:val="0"/>
          <w:numId w:val="7"/>
        </w:numPr>
        <w:spacing w:after="150"/>
        <w:ind w:left="36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 xml:space="preserve">Дейности, свързани с подобряване качеството на социална инфраструктура /образователна/здравна/ и повишаване потенциала на обектите чрез доставка на </w:t>
      </w:r>
      <w:proofErr w:type="gramStart"/>
      <w:r w:rsidRPr="0093779C">
        <w:rPr>
          <w:rFonts w:ascii="Calibri" w:eastAsia="Calibri" w:hAnsi="Calibri" w:cs="Calibri"/>
          <w:shd w:val="clear" w:color="auto" w:fill="FFFFFF"/>
        </w:rPr>
        <w:t>оборудване</w:t>
      </w:r>
      <w:proofErr w:type="gramEnd"/>
      <w:r w:rsidRPr="0093779C">
        <w:rPr>
          <w:rFonts w:ascii="Calibri" w:eastAsia="Calibri" w:hAnsi="Calibri" w:cs="Calibri"/>
          <w:shd w:val="clear" w:color="auto" w:fill="FFFFFF"/>
        </w:rPr>
        <w:t xml:space="preserve">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т.н.; Строителни-ремонтни работи за подобряване състоянието на обекти, които са държавна или общинска собственост – училища, болници, детски градини, домове за стари хора и т.н.</w:t>
      </w:r>
    </w:p>
    <w:p w:rsidR="003558BD" w:rsidRPr="005E3C1F" w:rsidRDefault="007342AE" w:rsidP="0093779C">
      <w:pPr>
        <w:spacing w:after="150" w:line="240" w:lineRule="auto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7</w:t>
      </w:r>
      <w:r w:rsidR="002A19D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.1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.</w:t>
      </w:r>
      <w:r w:rsidR="00EF3BD4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2.</w:t>
      </w:r>
      <w:r w:rsidR="00EF3BD4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  </w:t>
      </w: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Задължителни дейности, които трябва да бъдат предвидени в проекта:</w:t>
      </w:r>
    </w:p>
    <w:p w:rsidR="003558BD" w:rsidRPr="0093779C" w:rsidRDefault="0093779C" w:rsidP="002A19DF">
      <w:pPr>
        <w:pStyle w:val="ListParagraph"/>
        <w:numPr>
          <w:ilvl w:val="0"/>
          <w:numId w:val="27"/>
        </w:numPr>
        <w:spacing w:after="150"/>
        <w:ind w:left="450" w:firstLine="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Изготвяне</w:t>
      </w:r>
      <w:r w:rsidR="007342AE" w:rsidRPr="0093779C">
        <w:rPr>
          <w:rFonts w:ascii="Calibri" w:eastAsia="Calibri" w:hAnsi="Calibri" w:cs="Calibri"/>
          <w:shd w:val="clear" w:color="auto" w:fill="FFFFFF"/>
        </w:rPr>
        <w:t xml:space="preserve"> на </w:t>
      </w:r>
      <w:proofErr w:type="spellStart"/>
      <w:r w:rsidR="007342AE" w:rsidRPr="0093779C">
        <w:rPr>
          <w:rFonts w:ascii="Calibri" w:eastAsia="Calibri" w:hAnsi="Calibri" w:cs="Calibri"/>
          <w:shd w:val="clear" w:color="auto" w:fill="FFFFFF"/>
        </w:rPr>
        <w:t>одитен</w:t>
      </w:r>
      <w:proofErr w:type="spellEnd"/>
      <w:r w:rsidR="007342AE" w:rsidRPr="0093779C">
        <w:rPr>
          <w:rFonts w:ascii="Calibri" w:eastAsia="Calibri" w:hAnsi="Calibri" w:cs="Calibri"/>
          <w:shd w:val="clear" w:color="auto" w:fill="FFFFFF"/>
        </w:rPr>
        <w:t xml:space="preserve"> доклад от независим финансов одитор;</w:t>
      </w:r>
    </w:p>
    <w:p w:rsidR="003558BD" w:rsidRPr="0093779C" w:rsidRDefault="0093779C" w:rsidP="002A19DF">
      <w:pPr>
        <w:pStyle w:val="ListParagraph"/>
        <w:numPr>
          <w:ilvl w:val="0"/>
          <w:numId w:val="27"/>
        </w:numPr>
        <w:spacing w:after="150"/>
        <w:ind w:left="450" w:firstLine="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Дейности</w:t>
      </w:r>
      <w:r w:rsidR="007342AE" w:rsidRPr="0093779C">
        <w:rPr>
          <w:rFonts w:ascii="Calibri" w:eastAsia="Calibri" w:hAnsi="Calibri" w:cs="Calibri"/>
          <w:shd w:val="clear" w:color="auto" w:fill="FFFFFF"/>
        </w:rPr>
        <w:t xml:space="preserve">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 от 3 до 5 % от общата стойност на проекта, но не повече от 5 хиляди </w:t>
      </w:r>
      <w:proofErr w:type="gramStart"/>
      <w:r w:rsidR="007342AE" w:rsidRPr="0093779C">
        <w:rPr>
          <w:rFonts w:ascii="Calibri" w:eastAsia="Calibri" w:hAnsi="Calibri" w:cs="Calibri"/>
          <w:shd w:val="clear" w:color="auto" w:fill="FFFFFF"/>
        </w:rPr>
        <w:t>лева</w:t>
      </w:r>
      <w:proofErr w:type="gramEnd"/>
      <w:r w:rsidR="007342AE" w:rsidRPr="0093779C">
        <w:rPr>
          <w:rFonts w:ascii="Calibri" w:eastAsia="Calibri" w:hAnsi="Calibri" w:cs="Calibri"/>
          <w:shd w:val="clear" w:color="auto" w:fill="FFFFFF"/>
        </w:rPr>
        <w:t>;</w:t>
      </w:r>
    </w:p>
    <w:p w:rsidR="003558BD" w:rsidRPr="0093779C" w:rsidRDefault="0093779C" w:rsidP="002A19DF">
      <w:pPr>
        <w:pStyle w:val="ListParagraph"/>
        <w:numPr>
          <w:ilvl w:val="0"/>
          <w:numId w:val="27"/>
        </w:numPr>
        <w:spacing w:after="150"/>
        <w:ind w:left="450" w:firstLine="0"/>
        <w:jc w:val="both"/>
        <w:rPr>
          <w:rFonts w:ascii="Calibri" w:eastAsia="Calibri" w:hAnsi="Calibri" w:cs="Calibri"/>
          <w:shd w:val="clear" w:color="auto" w:fill="FFFFFF"/>
        </w:rPr>
      </w:pPr>
      <w:r w:rsidRPr="0093779C">
        <w:rPr>
          <w:rFonts w:ascii="Calibri" w:eastAsia="Calibri" w:hAnsi="Calibri" w:cs="Calibri"/>
          <w:shd w:val="clear" w:color="auto" w:fill="FFFFFF"/>
        </w:rPr>
        <w:t>При</w:t>
      </w:r>
      <w:r w:rsidR="007342AE" w:rsidRPr="0093779C">
        <w:rPr>
          <w:rFonts w:ascii="Calibri" w:eastAsia="Calibri" w:hAnsi="Calibri" w:cs="Calibri"/>
          <w:shd w:val="clear" w:color="auto" w:fill="FFFFFF"/>
        </w:rPr>
        <w:t xml:space="preserve"> реализирането на всички проекти, финансирани с българската </w:t>
      </w:r>
      <w:proofErr w:type="gramStart"/>
      <w:r w:rsidR="007342AE" w:rsidRPr="0093779C">
        <w:rPr>
          <w:rFonts w:ascii="Calibri" w:eastAsia="Calibri" w:hAnsi="Calibri" w:cs="Calibri"/>
          <w:shd w:val="clear" w:color="auto" w:fill="FFFFFF"/>
        </w:rPr>
        <w:t xml:space="preserve">помощ за </w:t>
      </w:r>
      <w:proofErr w:type="spellStart"/>
      <w:r w:rsidR="007342AE" w:rsidRPr="0093779C">
        <w:rPr>
          <w:rFonts w:ascii="Calibri" w:eastAsia="Calibri" w:hAnsi="Calibri" w:cs="Calibri"/>
          <w:shd w:val="clear" w:color="auto" w:fill="FFFFFF"/>
        </w:rPr>
        <w:t>развиетие</w:t>
      </w:r>
      <w:proofErr w:type="spellEnd"/>
      <w:r w:rsidR="007342AE" w:rsidRPr="0093779C">
        <w:rPr>
          <w:rFonts w:ascii="Calibri" w:eastAsia="Calibri" w:hAnsi="Calibri" w:cs="Calibri"/>
          <w:shd w:val="clear" w:color="auto" w:fill="FFFFFF"/>
        </w:rPr>
        <w:t>, следва да се прилагат Насоките за публичност и видимост на българската помощ</w:t>
      </w:r>
      <w:proofErr w:type="gramEnd"/>
      <w:r w:rsidR="007342AE" w:rsidRPr="0093779C">
        <w:rPr>
          <w:rFonts w:ascii="Calibri" w:eastAsia="Calibri" w:hAnsi="Calibri" w:cs="Calibri"/>
          <w:shd w:val="clear" w:color="auto" w:fill="FFFFFF"/>
        </w:rPr>
        <w:t xml:space="preserve"> за развитие /виж Приложение </w:t>
      </w:r>
      <w:r w:rsidR="007342AE" w:rsidRPr="0093779C">
        <w:rPr>
          <w:rFonts w:ascii="Segoe UI Symbol" w:eastAsia="Segoe UI Symbol" w:hAnsi="Segoe UI Symbol" w:cs="Segoe UI Symbol"/>
          <w:shd w:val="clear" w:color="auto" w:fill="FFFFFF"/>
        </w:rPr>
        <w:t>№</w:t>
      </w:r>
      <w:r w:rsidR="007342AE" w:rsidRPr="0093779C">
        <w:rPr>
          <w:rFonts w:ascii="Calibri" w:eastAsia="Calibri" w:hAnsi="Calibri" w:cs="Calibri"/>
          <w:shd w:val="clear" w:color="auto" w:fill="FFFFFF"/>
        </w:rPr>
        <w:t xml:space="preserve"> 2/.</w:t>
      </w:r>
    </w:p>
    <w:p w:rsidR="003558BD" w:rsidRDefault="002A19DF">
      <w:pPr>
        <w:spacing w:after="150" w:line="240" w:lineRule="auto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7.2</w:t>
      </w:r>
      <w:r w:rsidR="007342AE"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.</w:t>
      </w:r>
      <w:r w:rsidR="007342AE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</w:t>
      </w:r>
      <w:r w:rsidRPr="002A19D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Допустими и недопустими </w:t>
      </w:r>
      <w:proofErr w:type="gramStart"/>
      <w:r w:rsidRPr="002A19D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разходи</w:t>
      </w:r>
      <w:proofErr w:type="gramEnd"/>
    </w:p>
    <w:p w:rsidR="002A19DF" w:rsidRDefault="002A19DF">
      <w:pPr>
        <w:spacing w:after="150" w:line="240" w:lineRule="auto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7.2.1. </w:t>
      </w:r>
      <w:r w:rsidRPr="002A19D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Разходите за изпълнение на проекта трябва да отговарят едновременно на следните условия: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spacing w:after="150"/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Да бъдат извършени в рамките на посочените в споразумението за целево безвъзмездно финансиране срокове след началото и преди изтичане на срока за изпълнение на проекта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spacing w:after="150"/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Да са законосъобразни, да са необходими и пропорционални на изпълнението на допустимите по проекта дейности по начин, съвместим с принципите на икономичност, ефективност и ефикасност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spacing w:after="150"/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lastRenderedPageBreak/>
        <w:t>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spacing w:after="150"/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Да са в рамките на стойността на проекта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spacing w:after="150"/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Да са за дейности, които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spacing w:after="150"/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2A19DF" w:rsidRDefault="002A19DF" w:rsidP="002A19DF">
      <w:pPr>
        <w:pStyle w:val="ListParagraph"/>
        <w:numPr>
          <w:ilvl w:val="0"/>
          <w:numId w:val="7"/>
        </w:numPr>
        <w:spacing w:after="150"/>
        <w:ind w:left="450"/>
        <w:jc w:val="both"/>
        <w:rPr>
          <w:rFonts w:ascii="Calibri" w:eastAsia="Calibri" w:hAnsi="Calibri" w:cs="Calibri"/>
          <w:b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 xml:space="preserve">Разходите за организация и управление /разходи за ръководител/координатор на проект/ да са в размер до 10 % от общите допустими разходи по отделния </w:t>
      </w:r>
      <w:proofErr w:type="gramStart"/>
      <w:r w:rsidRPr="002A19DF">
        <w:rPr>
          <w:rFonts w:ascii="Calibri" w:eastAsia="Calibri" w:hAnsi="Calibri" w:cs="Calibri"/>
          <w:shd w:val="clear" w:color="auto" w:fill="FFFFFF"/>
        </w:rPr>
        <w:t>проект.</w:t>
      </w:r>
      <w:r w:rsidRPr="005E3C1F"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gramEnd"/>
    </w:p>
    <w:p w:rsidR="003558BD" w:rsidRDefault="002A19D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7.2.2. </w:t>
      </w:r>
      <w:r w:rsidRPr="002A19D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Недопустими разходи</w:t>
      </w:r>
    </w:p>
    <w:p w:rsidR="002A19DF" w:rsidRDefault="002A19D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2A19DF" w:rsidRPr="002A19DF" w:rsidRDefault="002A19DF" w:rsidP="002A19DF">
      <w:pPr>
        <w:pStyle w:val="ListParagraph"/>
        <w:numPr>
          <w:ilvl w:val="0"/>
          <w:numId w:val="7"/>
        </w:numPr>
        <w:ind w:left="54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Разходи, които са извън обхвата на допустимите дейности по настоящата обява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ind w:left="54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Комунални разходи - телефонни разходи, абонамент за интернет услуги, вестници и списания, канцеларски материали; разходи за текуща поддръжка на сгради като ток, вода, данъци, общински такси и др.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ind w:left="54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 xml:space="preserve">Банкови разходи - лихви върху кредити, </w:t>
      </w:r>
      <w:proofErr w:type="gramStart"/>
      <w:r w:rsidRPr="002A19DF">
        <w:rPr>
          <w:rFonts w:ascii="Calibri" w:eastAsia="Calibri" w:hAnsi="Calibri" w:cs="Calibri"/>
          <w:shd w:val="clear" w:color="auto" w:fill="FFFFFF"/>
        </w:rPr>
        <w:t>такси по обслужване на дългове и неустойки за забавени плащания, такси</w:t>
      </w:r>
      <w:proofErr w:type="gramEnd"/>
      <w:r w:rsidRPr="002A19DF">
        <w:rPr>
          <w:rFonts w:ascii="Calibri" w:eastAsia="Calibri" w:hAnsi="Calibri" w:cs="Calibri"/>
          <w:shd w:val="clear" w:color="auto" w:fill="FFFFFF"/>
        </w:rPr>
        <w:t xml:space="preserve"> за финансови транзакции и други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ind w:left="54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Подлежащо на възстановяване ДДС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ind w:left="54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Разходи, които се покриват от други източници</w:t>
      </w:r>
    </w:p>
    <w:p w:rsidR="002A19DF" w:rsidRPr="002A19DF" w:rsidRDefault="002A19DF" w:rsidP="002A19DF">
      <w:pPr>
        <w:pStyle w:val="ListParagraph"/>
        <w:numPr>
          <w:ilvl w:val="0"/>
          <w:numId w:val="7"/>
        </w:numPr>
        <w:ind w:left="54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Глоби, неустойки и разходи за съдебни процеси</w:t>
      </w:r>
    </w:p>
    <w:p w:rsidR="002A19DF" w:rsidRDefault="002A19DF" w:rsidP="002A19DF">
      <w:pPr>
        <w:pStyle w:val="ListParagraph"/>
        <w:numPr>
          <w:ilvl w:val="0"/>
          <w:numId w:val="7"/>
        </w:numPr>
        <w:ind w:left="540"/>
        <w:jc w:val="both"/>
        <w:rPr>
          <w:rFonts w:ascii="Calibri" w:eastAsia="Calibri" w:hAnsi="Calibri" w:cs="Calibri"/>
          <w:shd w:val="clear" w:color="auto" w:fill="FFFFFF"/>
        </w:rPr>
      </w:pPr>
      <w:r w:rsidRPr="002A19DF">
        <w:rPr>
          <w:rFonts w:ascii="Calibri" w:eastAsia="Calibri" w:hAnsi="Calibri" w:cs="Calibri"/>
          <w:shd w:val="clear" w:color="auto" w:fill="FFFFFF"/>
        </w:rPr>
        <w:t>Необосновани разходи, направени за дейности извън договорените в споразумението</w:t>
      </w:r>
    </w:p>
    <w:p w:rsidR="0093557B" w:rsidRPr="002A19DF" w:rsidRDefault="0093557B" w:rsidP="0093557B">
      <w:pPr>
        <w:pStyle w:val="ListParagraph"/>
        <w:ind w:left="540"/>
        <w:jc w:val="both"/>
        <w:rPr>
          <w:rFonts w:ascii="Calibri" w:eastAsia="Calibri" w:hAnsi="Calibri" w:cs="Calibri"/>
          <w:shd w:val="clear" w:color="auto" w:fill="FFFFFF"/>
        </w:rPr>
      </w:pPr>
    </w:p>
    <w:p w:rsidR="002A19DF" w:rsidRDefault="005120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7.2.3. </w:t>
      </w:r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Разчети на </w:t>
      </w:r>
      <w:proofErr w:type="gramStart"/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разходите</w:t>
      </w:r>
      <w:proofErr w:type="gramEnd"/>
    </w:p>
    <w:p w:rsidR="002A19DF" w:rsidRPr="005E3C1F" w:rsidRDefault="002A19D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Попълненият разчет на разходите е неразделна част от проектното предложение,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в съответствие с планираните в проектното предложение.</w:t>
      </w: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Разчетът на разходите се въвежда по </w:t>
      </w:r>
      <w:proofErr w:type="gramStart"/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дейностите, включени в проектното предложение (Организация и управление, Комуникационен план и др.), като за всяка дейност</w:t>
      </w:r>
      <w:proofErr w:type="gramEnd"/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 се въвеждат последователно разходите за всички предвидени </w:t>
      </w:r>
      <w:proofErr w:type="spellStart"/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поддейности</w:t>
      </w:r>
      <w:proofErr w:type="spellEnd"/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конкретно описание за всеки специфичен </w:t>
      </w:r>
      <w:proofErr w:type="gramStart"/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разход. </w:t>
      </w:r>
      <w:proofErr w:type="gramEnd"/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</w:p>
    <w:p w:rsid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При планиране на разходите, свързани с </w:t>
      </w:r>
      <w:proofErr w:type="gramStart"/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публичност и видимост на проекта, следва да се спазват изискванията, описани подробно в Насоките за публичност</w:t>
      </w:r>
      <w:proofErr w:type="gramEnd"/>
      <w:r w:rsidRPr="00512020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 и видимост на Българската помощ за развитие.</w:t>
      </w:r>
    </w:p>
    <w:p w:rsidR="00512020" w:rsidRDefault="0051202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</w:p>
    <w:p w:rsidR="00512020" w:rsidRPr="00512020" w:rsidRDefault="005120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b/>
          <w:sz w:val="24"/>
          <w:szCs w:val="24"/>
          <w:shd w:val="clear" w:color="auto" w:fill="FFFFFF"/>
          <w:lang w:val="bg-BG"/>
        </w:rPr>
        <w:lastRenderedPageBreak/>
        <w:t>8. Необходими документи за кандидатстване:</w:t>
      </w:r>
    </w:p>
    <w:p w:rsidR="003558BD" w:rsidRPr="005E3C1F" w:rsidRDefault="008509A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Формуляр за кандидатстване е наличен на следната интернет страница на български и английски език: </w:t>
      </w:r>
      <w:proofErr w:type="gramStart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https://www</w:t>
      </w:r>
      <w:proofErr w:type="gramEnd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.</w:t>
      </w:r>
      <w:proofErr w:type="gramStart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mfa.</w:t>
      </w:r>
      <w:proofErr w:type="gramEnd"/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bg/bg/3865</w:t>
      </w:r>
      <w:r w:rsidR="007342AE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.</w:t>
      </w:r>
    </w:p>
    <w:p w:rsidR="003558BD" w:rsidRPr="005E3C1F" w:rsidRDefault="003558BD">
      <w:pPr>
        <w:spacing w:after="0" w:line="240" w:lineRule="auto"/>
        <w:jc w:val="both"/>
        <w:rPr>
          <w:rFonts w:ascii="Cambria" w:eastAsia="Cambria" w:hAnsi="Cambria" w:cs="Cambria"/>
          <w:sz w:val="24"/>
          <w:shd w:val="clear" w:color="auto" w:fill="FFFF00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</w:t>
      </w: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Посолството</w:t>
      </w:r>
      <w:r w:rsidR="008509A3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/ Генералното консулство</w:t>
      </w:r>
      <w:r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 xml:space="preserve"> на Република България в </w:t>
      </w:r>
      <w:r w:rsidR="008509A3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Република Сърбия</w:t>
      </w:r>
      <w:r w:rsidRPr="005E3C1F">
        <w:rPr>
          <w:rFonts w:ascii="Calibri" w:eastAsia="Calibri" w:hAnsi="Calibri" w:cs="Calibri"/>
          <w:shd w:val="clear" w:color="auto" w:fill="FFFFFF"/>
          <w:lang w:val="bg-BG"/>
        </w:rPr>
        <w:t xml:space="preserve"> 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може да изисква в кратки срокове допълнителна информация. </w:t>
      </w:r>
      <w:r w:rsidR="008509A3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Не получаването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такава информация в определения срок се счита за основание за отхвърляне на предложението.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9. Начин и срокове за приемане на проектите:</w:t>
      </w:r>
    </w:p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8"/>
      </w:tblGrid>
      <w:tr w:rsidR="003558BD" w:rsidRPr="005E3C1F" w:rsidTr="007342AE">
        <w:trPr>
          <w:trHeight w:val="2888"/>
        </w:trPr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Проектните предложения ще се приемат по електронната поща на </w:t>
            </w:r>
            <w:r w:rsidR="007B4FD6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адрес</w:t>
            </w:r>
            <w:r w:rsidR="007B4FD6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:</w:t>
            </w:r>
          </w:p>
          <w:p w:rsidR="003558BD" w:rsidRPr="005E3C1F" w:rsidRDefault="0034413A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bul_oda_serbia@</w:t>
            </w:r>
            <w:proofErr w:type="gramStart"/>
            <w:r w:rsidR="007B4FD6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mfa.</w:t>
            </w:r>
            <w:proofErr w:type="gramEnd"/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bg</w:t>
            </w:r>
          </w:p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</w:p>
          <w:p w:rsidR="003558BD" w:rsidRPr="007B4FD6" w:rsidRDefault="00021AF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</w:pP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Проектните предложения трябва задължително да 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бъдат изпращани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като два отделни 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файла - /1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/ във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proofErr w:type="gramStart"/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формат W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ord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и /2/ в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ъв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формат</w:t>
            </w:r>
            <w:proofErr w:type="gramEnd"/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PDF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 xml:space="preserve"> 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(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сканиран с подпис и печат</w:t>
            </w:r>
            <w:r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)</w:t>
            </w:r>
            <w:r w:rsidR="007342AE" w:rsidRPr="007B4FD6">
              <w:rPr>
                <w:rFonts w:ascii="Calibri" w:eastAsia="Calibri" w:hAnsi="Calibri" w:cs="Calibri"/>
                <w:b/>
                <w:i/>
                <w:sz w:val="24"/>
                <w:shd w:val="clear" w:color="auto" w:fill="FFFFFF"/>
                <w:lang w:val="bg-BG"/>
              </w:rPr>
              <w:t>.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 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 xml:space="preserve">Проектите следва да бъдат на български или на английски </w:t>
            </w:r>
            <w:r w:rsidR="007B4FD6"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език.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sz w:val="24"/>
                <w:shd w:val="clear" w:color="auto" w:fill="FFFFFF"/>
                <w:lang w:val="bg-BG"/>
              </w:rPr>
              <w:t> </w:t>
            </w:r>
          </w:p>
          <w:p w:rsidR="003558BD" w:rsidRPr="005E3C1F" w:rsidRDefault="007342A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</w:pP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Проектите се приемат в срок до 30 </w:t>
            </w:r>
            <w:r w:rsidR="009D2455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май</w:t>
            </w: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 202</w:t>
            </w:r>
            <w:r w:rsidR="009D2455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3</w:t>
            </w:r>
            <w:r w:rsidR="007D40DE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 xml:space="preserve"> </w:t>
            </w:r>
            <w:r w:rsidRPr="005E3C1F">
              <w:rPr>
                <w:rFonts w:ascii="Calibri" w:eastAsia="Calibri" w:hAnsi="Calibri" w:cs="Calibri"/>
                <w:b/>
                <w:sz w:val="24"/>
                <w:shd w:val="clear" w:color="auto" w:fill="FFFFFF"/>
                <w:lang w:val="bg-BG"/>
              </w:rPr>
              <w:t>г.</w:t>
            </w:r>
          </w:p>
          <w:p w:rsidR="003558BD" w:rsidRPr="005E3C1F" w:rsidRDefault="003558B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:rsidR="003558BD" w:rsidRPr="005E3C1F" w:rsidRDefault="003558BD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Pr="005E3C1F" w:rsidRDefault="007342A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10. </w:t>
      </w:r>
      <w:r w:rsidR="00512020"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Критерии за първоначална оценка и допустимост на проектните </w:t>
      </w:r>
      <w:proofErr w:type="gramStart"/>
      <w:r w:rsidR="00512020"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предложения</w:t>
      </w:r>
      <w:proofErr w:type="gramEnd"/>
    </w:p>
    <w:p w:rsidR="00512020" w:rsidRDefault="00512020" w:rsidP="00512020">
      <w:pPr>
        <w:pStyle w:val="ListParagraph"/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>До оценяване ще бъдат допуснати проектните предложения, които съответстват на следните критерии за съответствие и допустимост:</w:t>
      </w:r>
    </w:p>
    <w:p w:rsidR="00512020" w:rsidRPr="00512020" w:rsidRDefault="00512020" w:rsidP="00512020">
      <w:pPr>
        <w:pStyle w:val="ListParagraph"/>
        <w:ind w:left="450"/>
        <w:jc w:val="both"/>
        <w:rPr>
          <w:rFonts w:ascii="Calibri" w:eastAsia="Calibri" w:hAnsi="Calibri" w:cs="Calibri"/>
          <w:shd w:val="clear" w:color="auto" w:fill="FFFFFF"/>
        </w:rPr>
      </w:pP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>Кандидатът е допустим бенефициент, съгласно обявата за набиране на проектни предложения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proofErr w:type="gramStart"/>
      <w:r w:rsidRPr="00512020">
        <w:rPr>
          <w:rFonts w:ascii="Calibri" w:eastAsia="Calibri" w:hAnsi="Calibri" w:cs="Calibri"/>
          <w:shd w:val="clear" w:color="auto" w:fill="FFFFFF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</w:t>
      </w:r>
      <w:proofErr w:type="gramEnd"/>
      <w:r w:rsidRPr="00512020">
        <w:rPr>
          <w:rFonts w:ascii="Calibri" w:eastAsia="Calibri" w:hAnsi="Calibri" w:cs="Calibri"/>
          <w:shd w:val="clear" w:color="auto" w:fill="FFFFFF"/>
        </w:rPr>
        <w:t xml:space="preserve"> за кандидатстване)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>Сроковете за изпълнение и продължителността на проекта отговарят на посочените в обявата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>Целите и обхватът на проектното предложение съответстват на заложените в обявата приоритетни области и направления на ОПР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 xml:space="preserve">Проектното предложение е в съответствие с </w:t>
      </w:r>
      <w:proofErr w:type="gramStart"/>
      <w:r w:rsidRPr="00512020">
        <w:rPr>
          <w:rFonts w:ascii="Calibri" w:eastAsia="Calibri" w:hAnsi="Calibri" w:cs="Calibri"/>
          <w:shd w:val="clear" w:color="auto" w:fill="FFFFFF"/>
        </w:rPr>
        <w:t>Целите за устойчиво развитие и приоритетните цели</w:t>
      </w:r>
      <w:proofErr w:type="gramEnd"/>
      <w:r w:rsidRPr="00512020">
        <w:rPr>
          <w:rFonts w:ascii="Calibri" w:eastAsia="Calibri" w:hAnsi="Calibri" w:cs="Calibri"/>
          <w:shd w:val="clear" w:color="auto" w:fill="FFFFFF"/>
        </w:rPr>
        <w:t xml:space="preserve"> на Средносрочната програма за помощ за развитие и хуманитарна помощ на Р България за периода 2020-2024 г.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>Целевите групи по проектното предложение отговарят на посочените в обявата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lastRenderedPageBreak/>
        <w:t xml:space="preserve">Проектните дейности са допустими, съгласно Указанията на Комитета за помощта за </w:t>
      </w:r>
      <w:proofErr w:type="gramStart"/>
      <w:r w:rsidRPr="00512020">
        <w:rPr>
          <w:rFonts w:ascii="Calibri" w:eastAsia="Calibri" w:hAnsi="Calibri" w:cs="Calibri"/>
          <w:shd w:val="clear" w:color="auto" w:fill="FFFFFF"/>
        </w:rPr>
        <w:t>развитие на Организацията за икономическо сътрудничество и развитие</w:t>
      </w:r>
      <w:proofErr w:type="gramEnd"/>
      <w:r w:rsidRPr="00512020">
        <w:rPr>
          <w:rFonts w:ascii="Calibri" w:eastAsia="Calibri" w:hAnsi="Calibri" w:cs="Calibri"/>
          <w:shd w:val="clear" w:color="auto" w:fill="FFFFFF"/>
        </w:rPr>
        <w:t xml:space="preserve"> за дейности, които се отчитат като ОПР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512020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  <w:r>
        <w:rPr>
          <w:rFonts w:ascii="Calibri" w:eastAsia="Calibri" w:hAnsi="Calibri" w:cs="Calibri"/>
          <w:shd w:val="clear" w:color="auto" w:fill="FFFFFF"/>
        </w:rPr>
        <w:t>;</w:t>
      </w:r>
    </w:p>
    <w:p w:rsidR="003558BD" w:rsidRPr="00512020" w:rsidRDefault="00512020" w:rsidP="00512020">
      <w:pPr>
        <w:pStyle w:val="ListParagraph"/>
        <w:numPr>
          <w:ilvl w:val="0"/>
          <w:numId w:val="7"/>
        </w:numPr>
        <w:ind w:left="450"/>
        <w:jc w:val="both"/>
        <w:rPr>
          <w:rFonts w:ascii="Calibri" w:eastAsia="Calibri" w:hAnsi="Calibri" w:cs="Calibri"/>
          <w:shd w:val="clear" w:color="auto" w:fill="FFFFFF"/>
        </w:rPr>
      </w:pPr>
      <w:r w:rsidRPr="00512020">
        <w:rPr>
          <w:rFonts w:ascii="Calibri" w:eastAsia="Calibri" w:hAnsi="Calibri" w:cs="Calibri"/>
          <w:shd w:val="clear" w:color="auto" w:fill="FFFFFF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  <w:r>
        <w:rPr>
          <w:rFonts w:ascii="Calibri" w:eastAsia="Calibri" w:hAnsi="Calibri" w:cs="Calibri"/>
          <w:shd w:val="clear" w:color="auto" w:fill="FFFFFF"/>
        </w:rPr>
        <w:t>.</w:t>
      </w:r>
    </w:p>
    <w:p w:rsidR="00512020" w:rsidRDefault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512020" w:rsidRPr="00512020" w:rsidRDefault="005120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11. Цикъл на плащанията по одобрени </w:t>
      </w:r>
      <w:proofErr w:type="gramStart"/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проекти</w:t>
      </w:r>
      <w:proofErr w:type="gramEnd"/>
    </w:p>
    <w:p w:rsidR="00512020" w:rsidRDefault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>Плащанията по одобрените проектни предложения се извършват по следния начин въз основа на сключено споразумение (по образец):</w:t>
      </w: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Авансово плащане – в </w:t>
      </w:r>
      <w:proofErr w:type="gramStart"/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>размер на 50 % от размера</w:t>
      </w:r>
      <w:proofErr w:type="gramEnd"/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на одобрените средства по проекта;</w:t>
      </w: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proofErr w:type="gramStart"/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>Междинно плащане (втора вноска) – в размер на 40% от одобрените средства по проекта след получаването и одобряването от Министерството на външните работи на междинен</w:t>
      </w:r>
      <w:proofErr w:type="gramEnd"/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доклад и финансов отчет за междинното изпълнение на проекта;</w:t>
      </w: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Окончателно плащане – сумата за покриване на направените от бенефициента разходи за приключване на </w:t>
      </w:r>
      <w:proofErr w:type="gramStart"/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>проекта, но не повече от 10% от одобрените средства по проекта</w:t>
      </w:r>
      <w:proofErr w:type="gramEnd"/>
      <w:r w:rsidRPr="00512020">
        <w:rPr>
          <w:rFonts w:ascii="Calibri" w:eastAsia="Calibri" w:hAnsi="Calibri" w:cs="Calibri"/>
          <w:sz w:val="24"/>
          <w:shd w:val="clear" w:color="auto" w:fill="FFFFFF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512020" w:rsidRPr="00512020" w:rsidRDefault="00512020" w:rsidP="005120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b/>
          <w:sz w:val="24"/>
          <w:u w:val="single"/>
          <w:shd w:val="clear" w:color="auto" w:fill="FFFFFF"/>
          <w:lang w:val="bg-BG"/>
        </w:rPr>
        <w:t>Разчетите на разходите трябва да бъдат съобразени с посочения цикъл на плащане.</w:t>
      </w:r>
    </w:p>
    <w:p w:rsidR="00512020" w:rsidRDefault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512020" w:rsidRDefault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512020" w:rsidRPr="00512020" w:rsidRDefault="005120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12. Кандидатите трябва да посочат дали се очаква проектът да има негативен ефект върху околната </w:t>
      </w:r>
      <w:proofErr w:type="gramStart"/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страна в страната</w:t>
      </w:r>
      <w:proofErr w:type="gramEnd"/>
      <w:r w:rsidRPr="00512020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 xml:space="preserve"> на изпълнение, както и необходимост от екологична оценка на въздействието съгласно местното законодателство.</w:t>
      </w:r>
    </w:p>
    <w:p w:rsidR="00512020" w:rsidRDefault="00512020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426A4" w:rsidRPr="003426A4" w:rsidRDefault="0051202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  <w:lang w:val="bg-BG"/>
        </w:rPr>
      </w:pPr>
      <w:r w:rsidRPr="003426A4">
        <w:rPr>
          <w:rFonts w:ascii="Calibri" w:eastAsia="Calibri" w:hAnsi="Calibri" w:cs="Calibri"/>
          <w:b/>
          <w:sz w:val="24"/>
          <w:shd w:val="clear" w:color="auto" w:fill="FFFFFF"/>
          <w:lang w:val="bg-BG"/>
        </w:rPr>
        <w:t>13. Допълнителна информация:</w:t>
      </w:r>
    </w:p>
    <w:p w:rsidR="003426A4" w:rsidRDefault="003426A4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Default="007342AE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Кандидатите се уведомяват за резултатите от </w:t>
      </w:r>
      <w:proofErr w:type="gramStart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proofErr w:type="gramEnd"/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. Посолството</w:t>
      </w:r>
      <w:r w:rsidR="003A4796" w:rsidRPr="005E3C1F">
        <w:rPr>
          <w:rFonts w:ascii="Calibri" w:eastAsia="Calibri" w:hAnsi="Calibri" w:cs="Calibri"/>
          <w:sz w:val="24"/>
          <w:szCs w:val="24"/>
          <w:shd w:val="clear" w:color="auto" w:fill="FFFFFF"/>
          <w:lang w:val="bg-BG"/>
        </w:rPr>
        <w:t>/ Генералното консулство на Република България в Република Сърбия</w:t>
      </w:r>
      <w:r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 xml:space="preserve"> няма задължение да информира кандидатите за основанията за одобрение или отхвърляне на постъпилите проектни </w:t>
      </w:r>
      <w:r w:rsidR="003A4796" w:rsidRPr="005E3C1F">
        <w:rPr>
          <w:rFonts w:ascii="Calibri" w:eastAsia="Calibri" w:hAnsi="Calibri" w:cs="Calibri"/>
          <w:sz w:val="24"/>
          <w:shd w:val="clear" w:color="auto" w:fill="FFFFFF"/>
          <w:lang w:val="bg-BG"/>
        </w:rPr>
        <w:t>предложения.</w:t>
      </w:r>
    </w:p>
    <w:p w:rsidR="003426A4" w:rsidRDefault="003426A4">
      <w:pPr>
        <w:spacing w:after="0" w:line="240" w:lineRule="auto"/>
        <w:jc w:val="both"/>
        <w:rPr>
          <w:rFonts w:ascii="Calibri" w:eastAsia="Calibri" w:hAnsi="Calibri" w:cs="Calibri"/>
          <w:sz w:val="24"/>
          <w:shd w:val="clear" w:color="auto" w:fill="FFFFFF"/>
          <w:lang w:val="bg-BG"/>
        </w:rPr>
      </w:pPr>
    </w:p>
    <w:p w:rsidR="003558BD" w:rsidRDefault="003558BD">
      <w:pPr>
        <w:spacing w:after="160" w:line="259" w:lineRule="auto"/>
        <w:rPr>
          <w:rFonts w:ascii="Calibri" w:eastAsia="Calibri" w:hAnsi="Calibri" w:cs="Calibri"/>
          <w:sz w:val="24"/>
          <w:lang w:val="bg-BG"/>
        </w:rPr>
      </w:pPr>
    </w:p>
    <w:p w:rsidR="0093557B" w:rsidRPr="00076E1E" w:rsidRDefault="0093557B">
      <w:pPr>
        <w:spacing w:after="160" w:line="259" w:lineRule="auto"/>
        <w:rPr>
          <w:rFonts w:ascii="Calibri" w:eastAsia="Calibri" w:hAnsi="Calibri" w:cs="Calibri"/>
          <w:sz w:val="24"/>
          <w:lang w:val="bg-BG"/>
        </w:rPr>
      </w:pPr>
    </w:p>
    <w:p w:rsidR="008B5921" w:rsidRPr="00BC6297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8B5921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8B5921" w:rsidRPr="00BC6297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proofErr w:type="gramStart"/>
      <w:r w:rsidRPr="00BC6297">
        <w:rPr>
          <w:b/>
          <w:sz w:val="24"/>
          <w:szCs w:val="24"/>
          <w:lang w:val="bg-BG"/>
        </w:rPr>
        <w:t>Чл.23</w:t>
      </w:r>
      <w:proofErr w:type="gramEnd"/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8B5921" w:rsidRPr="00BC6297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8B5921" w:rsidRPr="001D4F9E" w:rsidRDefault="008B5921" w:rsidP="008B5921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8B5921" w:rsidRPr="001D4F9E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8B5921" w:rsidRDefault="008B5921" w:rsidP="008B5921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3426A4" w:rsidRPr="00F75440" w:rsidRDefault="003426A4" w:rsidP="00342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8B5921" w:rsidRPr="001D4F9E" w:rsidRDefault="008B5921" w:rsidP="008B592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8B5921" w:rsidRPr="001D4F9E" w:rsidRDefault="008B5921" w:rsidP="008B5921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8B5921" w:rsidRPr="00F75440" w:rsidRDefault="008B5921" w:rsidP="008B592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8B5921" w:rsidRPr="00F75440" w:rsidRDefault="008B5921" w:rsidP="008B5921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8B5921" w:rsidRPr="001D4F9E" w:rsidRDefault="008B5921" w:rsidP="008B5921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8B5921" w:rsidRDefault="008B5921">
      <w:pPr>
        <w:rPr>
          <w:rFonts w:ascii="Calibri Light" w:eastAsia="Calibri Light" w:hAnsi="Calibri Light" w:cs="Calibri Light"/>
          <w:b/>
          <w:sz w:val="27"/>
          <w:lang w:val="bg-BG"/>
        </w:rPr>
      </w:pPr>
      <w:r>
        <w:rPr>
          <w:rFonts w:ascii="Calibri Light" w:eastAsia="Calibri Light" w:hAnsi="Calibri Light" w:cs="Calibri Light"/>
          <w:b/>
          <w:sz w:val="27"/>
          <w:lang w:val="bg-BG"/>
        </w:rPr>
        <w:br w:type="page"/>
      </w:r>
    </w:p>
    <w:p w:rsidR="003558BD" w:rsidRPr="00076E1E" w:rsidRDefault="007342AE">
      <w:pPr>
        <w:spacing w:after="160" w:line="259" w:lineRule="auto"/>
        <w:rPr>
          <w:rFonts w:ascii="Calibri Light" w:eastAsia="Calibri Light" w:hAnsi="Calibri Light" w:cs="Calibri Light"/>
          <w:b/>
          <w:sz w:val="27"/>
          <w:lang w:val="bg-BG"/>
        </w:rPr>
      </w:pPr>
      <w:r w:rsidRPr="00076E1E">
        <w:rPr>
          <w:rFonts w:ascii="Calibri Light" w:eastAsia="Calibri Light" w:hAnsi="Calibri Light" w:cs="Calibri Light"/>
          <w:b/>
          <w:sz w:val="27"/>
          <w:lang w:val="bg-BG"/>
        </w:rPr>
        <w:lastRenderedPageBreak/>
        <w:t xml:space="preserve">Приложение </w:t>
      </w:r>
      <w:r w:rsidRPr="00076E1E">
        <w:rPr>
          <w:rFonts w:ascii="Segoe UI Symbol" w:eastAsia="Segoe UI Symbol" w:hAnsi="Segoe UI Symbol" w:cs="Segoe UI Symbol"/>
          <w:b/>
          <w:sz w:val="27"/>
          <w:lang w:val="bg-BG"/>
        </w:rPr>
        <w:t>№</w:t>
      </w:r>
      <w:r w:rsidRPr="00076E1E">
        <w:rPr>
          <w:rFonts w:ascii="Calibri Light" w:eastAsia="Calibri Light" w:hAnsi="Calibri Light" w:cs="Calibri Light"/>
          <w:b/>
          <w:sz w:val="27"/>
          <w:lang w:val="bg-BG"/>
        </w:rPr>
        <w:t xml:space="preserve"> 2</w:t>
      </w:r>
    </w:p>
    <w:p w:rsidR="003558BD" w:rsidRPr="00076E1E" w:rsidRDefault="003558BD">
      <w:pPr>
        <w:spacing w:after="160" w:line="259" w:lineRule="auto"/>
        <w:rPr>
          <w:rFonts w:ascii="Calibri Light" w:eastAsia="Calibri Light" w:hAnsi="Calibri Light" w:cs="Calibri Light"/>
          <w:b/>
          <w:sz w:val="27"/>
          <w:lang w:val="bg-BG"/>
        </w:rPr>
      </w:pPr>
    </w:p>
    <w:p w:rsidR="007C2EF3" w:rsidRPr="001726A8" w:rsidRDefault="007C2EF3" w:rsidP="007C2EF3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НАСОКИ ЗА ПУБЛИЧНОСТ И ВИДИМОСТ НА БЪЛГАРСКАТА ПОМОЩ ЗА РАЗВИТИЕ</w:t>
      </w:r>
    </w:p>
    <w:p w:rsidR="007C2EF3" w:rsidRPr="001726A8" w:rsidRDefault="007C2EF3" w:rsidP="007C2EF3">
      <w:pPr>
        <w:jc w:val="center"/>
        <w:rPr>
          <w:rFonts w:ascii="Cambria" w:hAnsi="Cambria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Информационните материали</w:t>
      </w:r>
      <w:proofErr w:type="gramStart"/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използвани</w:t>
      </w:r>
      <w:proofErr w:type="gramEnd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при изпълнение на комуникационния план по проекти за развитие</w:t>
      </w:r>
      <w:r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:rsidR="007C2EF3" w:rsidRPr="007E03E7" w:rsidRDefault="007C2EF3" w:rsidP="007C2EF3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Логото на Българска помощ за развитие</w:t>
      </w:r>
      <w:r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>
        <w:rPr>
          <w:rFonts w:ascii="Cambria" w:hAnsi="Cambria" w:cs="TimesNewRoman,Bold"/>
          <w:bCs/>
          <w:color w:val="000000"/>
          <w:sz w:val="27"/>
          <w:szCs w:val="27"/>
        </w:rPr>
        <w:t xml:space="preserve">; </w:t>
      </w:r>
      <w:proofErr w:type="gramStart"/>
      <w:r>
        <w:rPr>
          <w:rFonts w:ascii="Cambria" w:hAnsi="Cambria" w:cs="TimesNewRoman,Bold"/>
          <w:bCs/>
          <w:color w:val="000000"/>
          <w:sz w:val="27"/>
          <w:szCs w:val="27"/>
        </w:rPr>
        <w:t>знамето</w:t>
      </w:r>
      <w:proofErr w:type="gramEnd"/>
      <w:r>
        <w:rPr>
          <w:rFonts w:ascii="Cambria" w:hAnsi="Cambria" w:cs="TimesNewRoman,Bold"/>
          <w:bCs/>
          <w:color w:val="000000"/>
          <w:sz w:val="27"/>
          <w:szCs w:val="27"/>
        </w:rPr>
        <w:t xml:space="preserve"> на страната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или логото на бенефициента, който изпълнява проекта; текст на официалния език на страната партньор, запазващ смисъла на следния текст на български и английски език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Проект /име на проекта/ се финансира със средства по Българската помощ за развитие /The project /Project Title/ is funded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Този проект е финансиран със средства по Българската помощ за развитие /This project is funded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:rsidR="007C2EF3" w:rsidRPr="007E03E7" w:rsidRDefault="007C2EF3" w:rsidP="007C2EF3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 на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:rsidR="007C2EF3" w:rsidRPr="007E03E7" w:rsidRDefault="007C2EF3" w:rsidP="007C2EF3">
      <w:pPr>
        <w:pStyle w:val="ListParagraph"/>
        <w:numPr>
          <w:ilvl w:val="1"/>
          <w:numId w:val="20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публикации, научни издания, наръчници, информационни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информират, представяйки факти, да бъде използван следния текст като </w:t>
      </w:r>
      <w:proofErr w:type="gram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забележка: </w:t>
      </w:r>
      <w:proofErr w:type="gramEnd"/>
    </w:p>
    <w:p w:rsidR="007C2EF3" w:rsidRPr="007E03E7" w:rsidRDefault="007C2EF3" w:rsidP="007C2EF3">
      <w:pPr>
        <w:pStyle w:val="ListParagraph"/>
        <w:numPr>
          <w:ilvl w:val="0"/>
          <w:numId w:val="21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 (или друг вид материал)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>. При никакви обстоятелства материалите (в съответната публикация/материал) не могат да се разглеждат като отразяващи позицията на Република България и Българск</w:t>
      </w:r>
      <w:r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 Republic of Bulgaria</w:t>
      </w:r>
      <w:r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Bulgarian Development Aid.</w:t>
      </w:r>
    </w:p>
    <w:p w:rsidR="007C2EF3" w:rsidRPr="001726A8" w:rsidRDefault="007C2EF3" w:rsidP="007C2EF3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:rsidR="007C2EF3" w:rsidRPr="001726A8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 и логото на Българската помощ за развитие, съобразен със спецификите на целевата аудитория;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следва да съдържат всички задължителни елементи на визуализация, включително логото на Българската помощ за развитие. При тях може да се добави и наименованието, както и логото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</w:t>
      </w:r>
      <w:r w:rsidRPr="007E03E7">
        <w:rPr>
          <w:rFonts w:ascii="Cambria" w:hAnsi="Cambria" w:cs="TimesNewRoman"/>
          <w:color w:val="000000"/>
          <w:sz w:val="27"/>
          <w:szCs w:val="27"/>
        </w:rPr>
        <w:lastRenderedPageBreak/>
        <w:t xml:space="preserve">средства </w:t>
      </w:r>
      <w:r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>
        <w:rPr>
          <w:rFonts w:ascii="Cambria" w:hAnsi="Cambria" w:cs="TimesNewRoman"/>
          <w:color w:val="000000"/>
          <w:sz w:val="27"/>
          <w:szCs w:val="27"/>
        </w:rPr>
        <w:t>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:rsidR="007C2EF3" w:rsidRPr="007E03E7" w:rsidRDefault="007C2EF3" w:rsidP="007C2EF3">
      <w:pPr>
        <w:pStyle w:val="ListParagraph"/>
        <w:numPr>
          <w:ilvl w:val="1"/>
          <w:numId w:val="19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, като текстът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се изписва задължително на официалния език на страната партньор и на английски език.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проекта. </w:t>
      </w:r>
      <w:proofErr w:type="gramEnd"/>
    </w:p>
    <w:p w:rsidR="007C2EF3" w:rsidRPr="001726A8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за развитие финансирани със средства по Българск</w:t>
      </w:r>
      <w:r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помощ 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/, като използват 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горепосочените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елементи на мерките за информиране и публичност. Те могат да направят това чрез поставяне на банери в залите, където се провежда мероприятието, в които е включено логото на Българската помощ за развитие</w:t>
      </w:r>
    </w:p>
    <w:p w:rsidR="007C2EF3" w:rsidRPr="007E03E7" w:rsidRDefault="007C2EF3" w:rsidP="007C2EF3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Всички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документи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публикации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рекламно-информационни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материали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свързани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събитието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трябва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отговарят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изискванията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визуализация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съгласно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тези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указания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прес-съобщения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сертификати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участие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рекламно-информационни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карета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мултимедийни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презентации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плакати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:rsidR="007C2EF3" w:rsidRPr="001726A8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</w:t>
      </w:r>
      <w:r w:rsidRPr="007E03E7">
        <w:rPr>
          <w:rFonts w:ascii="Cambria" w:hAnsi="Cambria" w:cs="TimesNewRoman"/>
          <w:color w:val="000000"/>
          <w:sz w:val="27"/>
          <w:szCs w:val="27"/>
        </w:rPr>
        <w:lastRenderedPageBreak/>
        <w:t xml:space="preserve">да се посочи ролята на </w:t>
      </w:r>
      <w:r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:rsidR="007C2EF3" w:rsidRPr="007E03E7" w:rsidRDefault="007C2EF3" w:rsidP="007C2EF3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</w:t>
      </w:r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др./ следва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Интернет</w:t>
      </w:r>
    </w:p>
    <w:p w:rsidR="007C2EF3" w:rsidRPr="007E03E7" w:rsidRDefault="007C2EF3" w:rsidP="007C2EF3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информацията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разпространявана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интернет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уеб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страниците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банери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графични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изображения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други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визуални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материали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публикувани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в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страниците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в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социалните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мрежи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чрез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други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онлайн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платформи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използвани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организациите</w:t>
      </w:r>
      <w:proofErr w:type="spellEnd"/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изпълняващи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проекти</w:t>
      </w:r>
      <w:proofErr w:type="spellEnd"/>
      <w:r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TimesNewRoman"/>
          <w:color w:val="000000"/>
          <w:sz w:val="27"/>
          <w:szCs w:val="27"/>
        </w:rPr>
        <w:t>по</w:t>
      </w:r>
      <w:proofErr w:type="spellEnd"/>
      <w:r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TimesNewRoman"/>
          <w:color w:val="000000"/>
          <w:sz w:val="27"/>
          <w:szCs w:val="27"/>
        </w:rPr>
        <w:t>българската</w:t>
      </w:r>
      <w:proofErr w:type="spellEnd"/>
      <w:r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TimesNewRoman"/>
          <w:color w:val="000000"/>
          <w:sz w:val="27"/>
          <w:szCs w:val="27"/>
        </w:rPr>
        <w:t>помощ</w:t>
      </w:r>
      <w:bookmarkStart w:id="0" w:name="_GoBack"/>
      <w:bookmarkEnd w:id="0"/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бъде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предвидено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разполагането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„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име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финансира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средства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/The project /Project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Title/ 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 with the Bulgarian Development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съобразявайки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спецификите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комуникационния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канал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аудиторията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като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възможност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разполага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логото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(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Р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)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страната-партньор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:rsidR="007C2EF3" w:rsidRPr="007E03E7" w:rsidRDefault="007C2EF3" w:rsidP="007C2EF3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:rsidR="007C2EF3" w:rsidRPr="007E03E7" w:rsidRDefault="007C2EF3" w:rsidP="007C2EF3">
      <w:pPr>
        <w:pStyle w:val="ListParagraph"/>
        <w:numPr>
          <w:ilvl w:val="0"/>
          <w:numId w:val="19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:rsidR="003558BD" w:rsidRPr="003426A4" w:rsidRDefault="007C2EF3" w:rsidP="003426A4">
      <w:pPr>
        <w:ind w:left="900"/>
        <w:jc w:val="both"/>
        <w:rPr>
          <w:rFonts w:ascii="Cambria" w:hAnsi="Cambria" w:cs="TimesNewRoman"/>
          <w:color w:val="000000"/>
          <w:sz w:val="27"/>
          <w:szCs w:val="27"/>
          <w:lang w:val="bg-BG"/>
        </w:rPr>
      </w:pPr>
      <w:proofErr w:type="spellStart"/>
      <w:proofErr w:type="gramStart"/>
      <w:r w:rsidRPr="007E03E7">
        <w:rPr>
          <w:rFonts w:ascii="Cambria" w:hAnsi="Cambria" w:cs="TimesNewRoman"/>
          <w:color w:val="000000"/>
          <w:sz w:val="27"/>
          <w:szCs w:val="27"/>
        </w:rPr>
        <w:t>При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закупуване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техническо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офис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оборудване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необходимо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изпълнението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проекта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в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резултат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него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бенефициентът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следва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постави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стикер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подходящо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място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повърхността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оборудването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  <w:proofErr w:type="gram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стикера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трябва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да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бъдат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визуализирани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(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Р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България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)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логото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знамето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страната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партньор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или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логото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придружени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текс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име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на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финансира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със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средства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Българската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помощ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за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развитие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proofErr w:type="gram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gram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project /Project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Title/ 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 with the Bulgarian Development Aid.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sectPr w:rsidR="003558BD" w:rsidRPr="003426A4" w:rsidSect="00BD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32" w:rsidRDefault="008D6232" w:rsidP="007C2EF3">
      <w:pPr>
        <w:spacing w:after="0" w:line="240" w:lineRule="auto"/>
      </w:pPr>
      <w:r>
        <w:separator/>
      </w:r>
    </w:p>
  </w:endnote>
  <w:endnote w:type="continuationSeparator" w:id="0">
    <w:p w:rsidR="008D6232" w:rsidRDefault="008D6232" w:rsidP="007C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32" w:rsidRDefault="008D6232" w:rsidP="007C2EF3">
      <w:pPr>
        <w:spacing w:after="0" w:line="240" w:lineRule="auto"/>
      </w:pPr>
      <w:r>
        <w:separator/>
      </w:r>
    </w:p>
  </w:footnote>
  <w:footnote w:type="continuationSeparator" w:id="0">
    <w:p w:rsidR="008D6232" w:rsidRDefault="008D6232" w:rsidP="007C2EF3">
      <w:pPr>
        <w:spacing w:after="0" w:line="240" w:lineRule="auto"/>
      </w:pPr>
      <w:r>
        <w:continuationSeparator/>
      </w:r>
    </w:p>
  </w:footnote>
  <w:footnote w:id="1">
    <w:p w:rsidR="007C2EF3" w:rsidRDefault="007C2EF3" w:rsidP="007C2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03E7">
        <w:t xml:space="preserve"> </w:t>
      </w:r>
      <w:r w:rsidRPr="007E03E7">
        <w:rPr>
          <w:noProof/>
          <w:lang w:val="en-US" w:eastAsia="en-US"/>
        </w:rPr>
        <w:drawing>
          <wp:inline distT="0" distB="0" distL="0" distR="0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A98"/>
    <w:multiLevelType w:val="hybridMultilevel"/>
    <w:tmpl w:val="DC3A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633F6D"/>
    <w:multiLevelType w:val="multilevel"/>
    <w:tmpl w:val="D3086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26FC5"/>
    <w:multiLevelType w:val="multilevel"/>
    <w:tmpl w:val="4D6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5152D"/>
    <w:multiLevelType w:val="hybridMultilevel"/>
    <w:tmpl w:val="390A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61159"/>
    <w:multiLevelType w:val="multilevel"/>
    <w:tmpl w:val="779C3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C3597"/>
    <w:multiLevelType w:val="multilevel"/>
    <w:tmpl w:val="34E6E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B5C2C"/>
    <w:multiLevelType w:val="hybridMultilevel"/>
    <w:tmpl w:val="8DC8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770BF"/>
    <w:multiLevelType w:val="multilevel"/>
    <w:tmpl w:val="19623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62D8C"/>
    <w:multiLevelType w:val="multilevel"/>
    <w:tmpl w:val="447CB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00F5A"/>
    <w:multiLevelType w:val="multilevel"/>
    <w:tmpl w:val="4D042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12AF7"/>
    <w:multiLevelType w:val="multilevel"/>
    <w:tmpl w:val="F34EB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A1DEA"/>
    <w:multiLevelType w:val="multilevel"/>
    <w:tmpl w:val="BDEEF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D5E63"/>
    <w:multiLevelType w:val="hybridMultilevel"/>
    <w:tmpl w:val="A708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724B5"/>
    <w:multiLevelType w:val="multilevel"/>
    <w:tmpl w:val="E0BC1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D221A3"/>
    <w:multiLevelType w:val="hybridMultilevel"/>
    <w:tmpl w:val="3422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3741E"/>
    <w:multiLevelType w:val="multilevel"/>
    <w:tmpl w:val="EA9AC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B50FB"/>
    <w:multiLevelType w:val="multilevel"/>
    <w:tmpl w:val="C1683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76A5B"/>
    <w:multiLevelType w:val="multilevel"/>
    <w:tmpl w:val="D0A86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545B9B"/>
    <w:multiLevelType w:val="multilevel"/>
    <w:tmpl w:val="316C6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187353"/>
    <w:multiLevelType w:val="hybridMultilevel"/>
    <w:tmpl w:val="324A8D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1640C73"/>
    <w:multiLevelType w:val="multilevel"/>
    <w:tmpl w:val="93DE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C5C8D"/>
    <w:multiLevelType w:val="multilevel"/>
    <w:tmpl w:val="9C96B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9A4166"/>
    <w:multiLevelType w:val="hybridMultilevel"/>
    <w:tmpl w:val="B3229596"/>
    <w:lvl w:ilvl="0" w:tplc="0032EC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A35F2"/>
    <w:multiLevelType w:val="multilevel"/>
    <w:tmpl w:val="8E446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536616"/>
    <w:multiLevelType w:val="hybridMultilevel"/>
    <w:tmpl w:val="5BF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A537D"/>
    <w:multiLevelType w:val="multilevel"/>
    <w:tmpl w:val="656C4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7"/>
  </w:num>
  <w:num w:numId="5">
    <w:abstractNumId w:val="26"/>
  </w:num>
  <w:num w:numId="6">
    <w:abstractNumId w:val="31"/>
  </w:num>
  <w:num w:numId="7">
    <w:abstractNumId w:val="8"/>
  </w:num>
  <w:num w:numId="8">
    <w:abstractNumId w:val="15"/>
  </w:num>
  <w:num w:numId="9">
    <w:abstractNumId w:val="17"/>
  </w:num>
  <w:num w:numId="10">
    <w:abstractNumId w:val="23"/>
  </w:num>
  <w:num w:numId="11">
    <w:abstractNumId w:val="27"/>
  </w:num>
  <w:num w:numId="12">
    <w:abstractNumId w:val="4"/>
  </w:num>
  <w:num w:numId="13">
    <w:abstractNumId w:val="13"/>
  </w:num>
  <w:num w:numId="14">
    <w:abstractNumId w:val="14"/>
  </w:num>
  <w:num w:numId="15">
    <w:abstractNumId w:val="16"/>
  </w:num>
  <w:num w:numId="16">
    <w:abstractNumId w:val="21"/>
  </w:num>
  <w:num w:numId="17">
    <w:abstractNumId w:val="19"/>
  </w:num>
  <w:num w:numId="18">
    <w:abstractNumId w:val="5"/>
  </w:num>
  <w:num w:numId="19">
    <w:abstractNumId w:val="1"/>
  </w:num>
  <w:num w:numId="20">
    <w:abstractNumId w:val="3"/>
  </w:num>
  <w:num w:numId="21">
    <w:abstractNumId w:val="10"/>
  </w:num>
  <w:num w:numId="22">
    <w:abstractNumId w:val="11"/>
  </w:num>
  <w:num w:numId="23">
    <w:abstractNumId w:val="12"/>
  </w:num>
  <w:num w:numId="24">
    <w:abstractNumId w:val="2"/>
  </w:num>
  <w:num w:numId="25">
    <w:abstractNumId w:val="6"/>
  </w:num>
  <w:num w:numId="26">
    <w:abstractNumId w:val="28"/>
  </w:num>
  <w:num w:numId="27">
    <w:abstractNumId w:val="20"/>
  </w:num>
  <w:num w:numId="28">
    <w:abstractNumId w:val="25"/>
  </w:num>
  <w:num w:numId="29">
    <w:abstractNumId w:val="0"/>
  </w:num>
  <w:num w:numId="30">
    <w:abstractNumId w:val="30"/>
  </w:num>
  <w:num w:numId="31">
    <w:abstractNumId w:val="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8BD"/>
    <w:rsid w:val="00021AF7"/>
    <w:rsid w:val="00053C95"/>
    <w:rsid w:val="00076E1E"/>
    <w:rsid w:val="00094368"/>
    <w:rsid w:val="000A0D7E"/>
    <w:rsid w:val="000B0932"/>
    <w:rsid w:val="0016557C"/>
    <w:rsid w:val="00206A91"/>
    <w:rsid w:val="00233A81"/>
    <w:rsid w:val="002636EA"/>
    <w:rsid w:val="002A1640"/>
    <w:rsid w:val="002A19DF"/>
    <w:rsid w:val="002A66C6"/>
    <w:rsid w:val="002C0B6D"/>
    <w:rsid w:val="00322445"/>
    <w:rsid w:val="003426A4"/>
    <w:rsid w:val="0034413A"/>
    <w:rsid w:val="003558BD"/>
    <w:rsid w:val="003566C7"/>
    <w:rsid w:val="00367567"/>
    <w:rsid w:val="00380BF3"/>
    <w:rsid w:val="003A4796"/>
    <w:rsid w:val="004178F7"/>
    <w:rsid w:val="00442291"/>
    <w:rsid w:val="004C02C8"/>
    <w:rsid w:val="00512020"/>
    <w:rsid w:val="00533102"/>
    <w:rsid w:val="005E3C1F"/>
    <w:rsid w:val="006624E5"/>
    <w:rsid w:val="00666D06"/>
    <w:rsid w:val="006960EB"/>
    <w:rsid w:val="006F6C36"/>
    <w:rsid w:val="00726416"/>
    <w:rsid w:val="007342AE"/>
    <w:rsid w:val="007B4FD6"/>
    <w:rsid w:val="007B63F4"/>
    <w:rsid w:val="007C2EF3"/>
    <w:rsid w:val="007C54A8"/>
    <w:rsid w:val="007D40DE"/>
    <w:rsid w:val="007D6FF4"/>
    <w:rsid w:val="0083157E"/>
    <w:rsid w:val="008323F2"/>
    <w:rsid w:val="008509A3"/>
    <w:rsid w:val="008B5921"/>
    <w:rsid w:val="008D6232"/>
    <w:rsid w:val="008E206E"/>
    <w:rsid w:val="0093557B"/>
    <w:rsid w:val="0093779C"/>
    <w:rsid w:val="009D2455"/>
    <w:rsid w:val="00A308EF"/>
    <w:rsid w:val="00AC54E2"/>
    <w:rsid w:val="00AF1089"/>
    <w:rsid w:val="00B238F1"/>
    <w:rsid w:val="00B677CD"/>
    <w:rsid w:val="00BD3ABB"/>
    <w:rsid w:val="00C5165A"/>
    <w:rsid w:val="00C56CDF"/>
    <w:rsid w:val="00C951EF"/>
    <w:rsid w:val="00D2749E"/>
    <w:rsid w:val="00D3217E"/>
    <w:rsid w:val="00D32D94"/>
    <w:rsid w:val="00D53E22"/>
    <w:rsid w:val="00D84EAB"/>
    <w:rsid w:val="00DA5CCA"/>
    <w:rsid w:val="00E64BC6"/>
    <w:rsid w:val="00EF3BD4"/>
    <w:rsid w:val="00F122A0"/>
    <w:rsid w:val="00F7484B"/>
    <w:rsid w:val="00F943D0"/>
    <w:rsid w:val="00FA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2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7C2EF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E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C2E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mfa-50</dc:creator>
  <cp:lastModifiedBy>mfa-50</cp:lastModifiedBy>
  <cp:revision>13</cp:revision>
  <dcterms:created xsi:type="dcterms:W3CDTF">2023-04-12T08:23:00Z</dcterms:created>
  <dcterms:modified xsi:type="dcterms:W3CDTF">2023-04-13T09:43:00Z</dcterms:modified>
</cp:coreProperties>
</file>